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9C11" w14:textId="77777777" w:rsidR="00335D87" w:rsidRPr="00335D87" w:rsidRDefault="00335D87">
      <w:pPr>
        <w:rPr>
          <w:rFonts w:ascii="Arial" w:hAnsi="Arial"/>
        </w:rPr>
      </w:pPr>
      <w:r w:rsidRPr="00335D87">
        <w:rPr>
          <w:rFonts w:ascii="Arial" w:hAnsi="Arial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1F1C1A4" wp14:editId="329E51B3">
            <wp:simplePos x="0" y="0"/>
            <wp:positionH relativeFrom="margin">
              <wp:posOffset>-570865</wp:posOffset>
            </wp:positionH>
            <wp:positionV relativeFrom="margin">
              <wp:posOffset>-685800</wp:posOffset>
            </wp:positionV>
            <wp:extent cx="1256665" cy="8807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D87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FE71" wp14:editId="671E31A8">
                <wp:simplePos x="0" y="0"/>
                <wp:positionH relativeFrom="column">
                  <wp:posOffset>-1370965</wp:posOffset>
                </wp:positionH>
                <wp:positionV relativeFrom="paragraph">
                  <wp:posOffset>228600</wp:posOffset>
                </wp:positionV>
                <wp:extent cx="67437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8pt" to="423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698F1A5" w14:textId="77777777" w:rsidR="00335D87" w:rsidRPr="00335D87" w:rsidRDefault="00335D87" w:rsidP="00335D87">
      <w:pPr>
        <w:rPr>
          <w:rFonts w:ascii="Arial" w:hAnsi="Arial"/>
        </w:rPr>
      </w:pPr>
    </w:p>
    <w:p w14:paraId="613320FB" w14:textId="77777777" w:rsidR="00EE7ADA" w:rsidRPr="00335D87" w:rsidRDefault="00EE7ADA" w:rsidP="00335D87">
      <w:pPr>
        <w:rPr>
          <w:rFonts w:ascii="Arial" w:hAnsi="Arial"/>
        </w:rPr>
      </w:pPr>
    </w:p>
    <w:p w14:paraId="01853945" w14:textId="77777777" w:rsidR="00335D87" w:rsidRPr="00335D87" w:rsidRDefault="00335D87" w:rsidP="00335D87">
      <w:pPr>
        <w:tabs>
          <w:tab w:val="left" w:pos="2182"/>
        </w:tabs>
        <w:rPr>
          <w:rFonts w:ascii="Arial" w:hAnsi="Arial"/>
          <w:b/>
        </w:rPr>
      </w:pPr>
    </w:p>
    <w:p w14:paraId="1037DB03" w14:textId="77777777" w:rsidR="009369FD" w:rsidRPr="009369FD" w:rsidRDefault="007160D7" w:rsidP="009369FD">
      <w:pPr>
        <w:rPr>
          <w:rFonts w:ascii="Arial" w:eastAsia="Times New Roman" w:hAnsi="Arial" w:cs="Times New Roman"/>
          <w:sz w:val="28"/>
          <w:szCs w:val="28"/>
        </w:rPr>
      </w:pPr>
      <w:r w:rsidRPr="00E71651">
        <w:rPr>
          <w:rFonts w:ascii="Arial" w:eastAsia="Times New Roman" w:hAnsi="Arial" w:cs="Times New Roman"/>
          <w:b/>
          <w:color w:val="666666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1. Introducción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  <w:shd w:val="clear" w:color="auto" w:fill="FAFAFA"/>
        </w:rPr>
        <w:t>  a)Antecedentes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  <w:shd w:val="clear" w:color="auto" w:fill="FAFAFA"/>
        </w:rPr>
        <w:t>  b)Generalidades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  <w:shd w:val="clear" w:color="auto" w:fill="FAFAFA"/>
        </w:rPr>
        <w:t>  c)El papel del IVA en los ingresos macroeconómicos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  <w:shd w:val="clear" w:color="auto" w:fill="FAFAFA"/>
        </w:rPr>
        <w:t>    Sujetos, objetos, bases y tasas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  <w:shd w:val="clear" w:color="auto" w:fill="FAFAFA"/>
        </w:rPr>
        <w:t>    Retención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2. Traslación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 xml:space="preserve">3. </w:t>
      </w:r>
      <w:proofErr w:type="spellStart"/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Acredita</w:t>
      </w:r>
      <w:bookmarkStart w:id="0" w:name="_GoBack"/>
      <w:bookmarkEnd w:id="0"/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miento</w:t>
      </w:r>
      <w:proofErr w:type="spellEnd"/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, compensación y devolución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4. Enajenación de bienes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5. Prestación de servicios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6. Uso o goce temporal de bienes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7. Importación de bienes y servicios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8. Exportación de bienes y servicios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9. Pagos mensuales definitivos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10. Régimen de plataforma digitales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11. Régimen de pequeños contribuyentes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12. Obligaciones de los contribuyentes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13. Facultades de las autoridades</w:t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="009369FD" w:rsidRPr="009369FD">
        <w:rPr>
          <w:rFonts w:ascii="Arial" w:eastAsia="Times New Roman" w:hAnsi="Arial" w:cs="Times New Roman"/>
          <w:b/>
          <w:bCs/>
          <w:color w:val="222222"/>
          <w:sz w:val="28"/>
          <w:szCs w:val="28"/>
          <w:shd w:val="clear" w:color="auto" w:fill="FAFAFA"/>
        </w:rPr>
        <w:t>14. Conclusiones</w:t>
      </w:r>
    </w:p>
    <w:p w14:paraId="4530F347" w14:textId="5BC42E7A" w:rsidR="002F309C" w:rsidRPr="009369FD" w:rsidRDefault="002F309C" w:rsidP="00633F7F">
      <w:pPr>
        <w:rPr>
          <w:rFonts w:ascii="Arial" w:hAnsi="Arial"/>
          <w:color w:val="000000" w:themeColor="text1"/>
          <w:sz w:val="28"/>
          <w:szCs w:val="28"/>
        </w:rPr>
      </w:pPr>
    </w:p>
    <w:sectPr w:rsidR="002F309C" w:rsidRPr="009369FD" w:rsidSect="005A4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A"/>
    <w:multiLevelType w:val="hybridMultilevel"/>
    <w:tmpl w:val="CB040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7"/>
    <w:rsid w:val="002F309C"/>
    <w:rsid w:val="00335D87"/>
    <w:rsid w:val="005A4915"/>
    <w:rsid w:val="0060176F"/>
    <w:rsid w:val="00633F7F"/>
    <w:rsid w:val="007160D7"/>
    <w:rsid w:val="008C620E"/>
    <w:rsid w:val="009369FD"/>
    <w:rsid w:val="00954123"/>
    <w:rsid w:val="00E57E82"/>
    <w:rsid w:val="00E71651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B5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D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D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3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D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D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3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0E9B7-49BE-1946-B817-79187EF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Edicion_2</dc:creator>
  <cp:keywords/>
  <dc:description/>
  <cp:lastModifiedBy>Edicion_2</cp:lastModifiedBy>
  <cp:revision>2</cp:revision>
  <cp:lastPrinted>2021-01-07T00:00:00Z</cp:lastPrinted>
  <dcterms:created xsi:type="dcterms:W3CDTF">2021-01-14T19:18:00Z</dcterms:created>
  <dcterms:modified xsi:type="dcterms:W3CDTF">2021-01-14T19:18:00Z</dcterms:modified>
</cp:coreProperties>
</file>